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5B1FF8">
      <w:pPr>
        <w:widowControl w:val="0"/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u w:val="single"/>
        </w:rPr>
        <w:t>Possible Database Fields</w:t>
      </w:r>
    </w:p>
    <w:p w:rsidR="00000000" w:rsidRDefault="005B1FF8">
      <w:pPr>
        <w:widowControl w:val="0"/>
        <w:rPr>
          <w:rFonts w:ascii="Arial" w:hAnsi="Arial"/>
        </w:rPr>
      </w:pPr>
    </w:p>
    <w:p w:rsidR="00000000" w:rsidRDefault="005B1FF8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The following is a list of possible fields for the University of Missouri “Stone Soup” Case Database.  Each case would have a unique citation and URL so that it could be easily cited.  Some fields with fixed </w:t>
      </w:r>
      <w:r>
        <w:rPr>
          <w:rFonts w:ascii="Arial" w:hAnsi="Arial"/>
        </w:rPr>
        <w:t>options may be expanded to include additional options and some options may need to be rephrased.</w:t>
      </w:r>
    </w:p>
    <w:p w:rsidR="00000000" w:rsidRDefault="005B1FF8">
      <w:pPr>
        <w:widowControl w:val="0"/>
        <w:rPr>
          <w:rFonts w:ascii="Arial" w:hAnsi="Arial"/>
        </w:rPr>
      </w:pPr>
    </w:p>
    <w:p w:rsidR="00000000" w:rsidRDefault="005B1FF8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The database can include original case reports as well as analyses of one or more cases (other than the original case reports themselves).  For such analyses </w:t>
      </w:r>
      <w:r>
        <w:rPr>
          <w:rFonts w:ascii="Arial" w:hAnsi="Arial"/>
        </w:rPr>
        <w:t>of cases, many of the fields may not be applicable and can be skipped.</w:t>
      </w:r>
    </w:p>
    <w:p w:rsidR="00000000" w:rsidRDefault="005B1FF8">
      <w:pPr>
        <w:widowControl w:val="0"/>
        <w:rPr>
          <w:rFonts w:ascii="Arial" w:hAnsi="Arial"/>
        </w:rPr>
      </w:pP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Author: (if author wishes to have his or her name attributed)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Course name: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Year submitted: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Original case report or analysis of one or more cases: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Original case report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Analysis of</w:t>
      </w:r>
      <w:r>
        <w:rPr>
          <w:rFonts w:ascii="Arial" w:hAnsi="Arial"/>
        </w:rPr>
        <w:t xml:space="preserve"> one or more cases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Title of case or report: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Summary of case or analysis: (a few sentences)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General location(s) where the case occurred: (being careful not to provide specific locations that could identify the parties or the case)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Keywords: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Selection c</w:t>
      </w:r>
      <w:r>
        <w:rPr>
          <w:rFonts w:ascii="Arial" w:hAnsi="Arial"/>
        </w:rPr>
        <w:t>riterion used to identify the subject (e.g., personal contact, referral from alumni office) and case: (e.g., most recent case, particularly difficult case, case including particular feature)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Interview subject: (indicate all that apply)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arbitrator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judge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lawyer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mediator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party (on his or her own behalf)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party representative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multiple subjects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other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not applicable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Decision type: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dispute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transaction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other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Process type: (indicate all that apply)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appellate litigation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arbitration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coaching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collabor</w:t>
      </w:r>
      <w:r>
        <w:rPr>
          <w:rFonts w:ascii="Arial" w:hAnsi="Arial"/>
        </w:rPr>
        <w:t>ative law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cooperative law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dispute system design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fact-finding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lastRenderedPageBreak/>
        <w:tab/>
        <w:t>family group conference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government administrative process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internal organizational process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judicial settlement conference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mass claims process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mediation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negotiation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neutral evaluation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</w:t>
      </w:r>
      <w:r>
        <w:rPr>
          <w:rFonts w:ascii="Arial" w:hAnsi="Arial"/>
        </w:rPr>
        <w:t>mbuds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online dispute resolution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parenting coordination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partnering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pretrial litigation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private judging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settlement counsel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special master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summary jury trial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trial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multiple processes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other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Primary issue type: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bankruptcy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civil rights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consumer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c</w:t>
      </w:r>
      <w:r>
        <w:rPr>
          <w:rFonts w:ascii="Arial" w:hAnsi="Arial"/>
        </w:rPr>
        <w:t>ommercial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construction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criminal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employment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family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finance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government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health care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insurance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intellectual property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internal organization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international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labor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probate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public policy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real estate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tax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tort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multiple major issues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other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Whether co</w:t>
      </w:r>
      <w:r>
        <w:rPr>
          <w:rFonts w:ascii="Arial" w:hAnsi="Arial"/>
        </w:rPr>
        <w:t>urt ordered the process: (other than litigation).  (This does not include court “suggestions” to use the process.)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yes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lastRenderedPageBreak/>
        <w:tab/>
        <w:t>no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other (or don’t know)</w:t>
      </w:r>
    </w:p>
    <w:p w:rsidR="00000000" w:rsidRDefault="005B1FF8">
      <w:pPr>
        <w:pStyle w:val="Level1"/>
        <w:keepNext/>
        <w:keepLines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Process established by pre-dispute agreement:</w:t>
      </w:r>
    </w:p>
    <w:p w:rsidR="00000000" w:rsidRDefault="005B1FF8">
      <w:pPr>
        <w:pStyle w:val="Level2"/>
        <w:keepNext/>
        <w:keepLines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yes</w:t>
      </w:r>
    </w:p>
    <w:p w:rsidR="00000000" w:rsidRDefault="005B1FF8">
      <w:pPr>
        <w:pStyle w:val="Level2"/>
        <w:keepLines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</w:t>
      </w:r>
    </w:p>
    <w:p w:rsidR="00000000" w:rsidRDefault="005B1FF8">
      <w:pPr>
        <w:pStyle w:val="Level2"/>
        <w:keepLines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other (or don’t know)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Number of parties: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2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3-5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6</w:t>
      </w:r>
      <w:r>
        <w:rPr>
          <w:rFonts w:ascii="Arial" w:hAnsi="Arial"/>
        </w:rPr>
        <w:t>-10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11 or more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other or not applicable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 xml:space="preserve">If </w:t>
      </w:r>
      <w:r>
        <w:rPr>
          <w:rFonts w:ascii="Arial" w:hAnsi="Arial"/>
          <w:u w:val="single"/>
        </w:rPr>
        <w:t>lawyers</w:t>
      </w:r>
      <w:r>
        <w:rPr>
          <w:rFonts w:ascii="Arial" w:hAnsi="Arial"/>
        </w:rPr>
        <w:t xml:space="preserve"> had relationship with each other before case began: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all lawyers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some lawyers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 lawyers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not applicable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 xml:space="preserve">If </w:t>
      </w:r>
      <w:r>
        <w:rPr>
          <w:rFonts w:ascii="Arial" w:hAnsi="Arial"/>
          <w:u w:val="single"/>
        </w:rPr>
        <w:t>parties</w:t>
      </w:r>
      <w:r>
        <w:rPr>
          <w:rFonts w:ascii="Arial" w:hAnsi="Arial"/>
        </w:rPr>
        <w:t xml:space="preserve"> had relationship before case began (not including 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all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some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 pa</w:t>
      </w:r>
      <w:r>
        <w:rPr>
          <w:rFonts w:ascii="Arial" w:hAnsi="Arial"/>
        </w:rPr>
        <w:t>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other (or don’t know)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If, at outset of case, parties had expectation of a relationship after the case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all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some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other (or don’t know)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Level of trust between the parties at the outset of the case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fairly low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moderate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fairly high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other (e.g., parties varied, unclear, don’t know)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Parties were represented by lawyers at any time during the case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all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some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other (or don’t know)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Parties consisting of more than one person or an organization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a</w:t>
      </w:r>
      <w:r>
        <w:rPr>
          <w:rFonts w:ascii="Arial" w:hAnsi="Arial"/>
        </w:rPr>
        <w:t>ll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some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other (or don’t know)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Parties had insurance coverage during the case (including where insurance companies reserved their right to dispute their liability)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all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some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lastRenderedPageBreak/>
        <w:tab/>
        <w:t>don’t know or not appl</w:t>
      </w:r>
      <w:r>
        <w:rPr>
          <w:rFonts w:ascii="Arial" w:hAnsi="Arial"/>
        </w:rPr>
        <w:t>icable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Significant stakeholders not “at the table”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all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some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 parties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other (or don’t know)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Whether litigation was pending during the process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yes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not applicable (or don’t know)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Whether dispositive motion (e.g., summary judgmen</w:t>
      </w:r>
      <w:r>
        <w:rPr>
          <w:rFonts w:ascii="Arial" w:hAnsi="Arial"/>
        </w:rPr>
        <w:t>t motion) was pending during the process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yes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not applicable (or don’t know)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Whether a mediator was used in the negotiation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yes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not applicable (or don’t know)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Whether agreement was reached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yes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not applicable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Monetary elements of resolut</w:t>
      </w:r>
      <w:r>
        <w:rPr>
          <w:rFonts w:ascii="Arial" w:hAnsi="Arial"/>
        </w:rPr>
        <w:t>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 resolution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one-time monetary obligation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monetary obligations due at more than one time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 monetary obligations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not applicable, other, or don’t know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Non-monetary elements of resolution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 resolution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 xml:space="preserve">resolution </w:t>
      </w:r>
      <w:r>
        <w:rPr>
          <w:rFonts w:ascii="Arial" w:hAnsi="Arial"/>
          <w:u w:val="single"/>
        </w:rPr>
        <w:t>included</w:t>
      </w:r>
      <w:r>
        <w:rPr>
          <w:rFonts w:ascii="Arial" w:hAnsi="Arial"/>
        </w:rPr>
        <w:t xml:space="preserve"> non-monetary elements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 xml:space="preserve">resolution </w:t>
      </w:r>
      <w:r>
        <w:rPr>
          <w:rFonts w:ascii="Arial" w:hAnsi="Arial"/>
          <w:u w:val="single"/>
        </w:rPr>
        <w:t>did not include</w:t>
      </w:r>
      <w:r>
        <w:rPr>
          <w:rFonts w:ascii="Arial" w:hAnsi="Arial"/>
        </w:rPr>
        <w:t xml:space="preserve"> non-monetary elements</w:t>
      </w:r>
    </w:p>
    <w:p w:rsidR="00000000" w:rsidRDefault="005B1FF8">
      <w:pPr>
        <w:pStyle w:val="Level2"/>
        <w:numPr>
          <w:ilvl w:val="1"/>
          <w:numId w:val="1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ab/>
        <w:t>not applicable, other, or don’t know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 xml:space="preserve">Chronological narrative of the case 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 xml:space="preserve">Possible alternative explanations of the events (this might address questions about the case due to getting only one perspective, </w:t>
      </w:r>
      <w:r>
        <w:rPr>
          <w:rFonts w:ascii="Arial" w:hAnsi="Arial"/>
        </w:rPr>
        <w:t>limitations of subjects’ memory, social desirability, etc.)</w:t>
      </w:r>
    </w:p>
    <w:p w:rsidR="00000000" w:rsidRDefault="005B1FF8">
      <w:pPr>
        <w:pStyle w:val="Level1"/>
        <w:numPr>
          <w:ilvl w:val="0"/>
          <w:numId w:val="1"/>
        </w:num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>Analysis and insights about dispute resolution derived from the case</w:t>
      </w:r>
    </w:p>
    <w:p w:rsidR="00000000" w:rsidRDefault="005B1FF8">
      <w:pPr>
        <w:widowControl w:val="0"/>
        <w:rPr>
          <w:rFonts w:ascii="Arial" w:hAnsi="Arial"/>
        </w:rPr>
      </w:pPr>
    </w:p>
    <w:p w:rsidR="00000000" w:rsidRDefault="005B1FF8">
      <w:pPr>
        <w:widowControl w:val="0"/>
        <w:rPr>
          <w:rFonts w:ascii="Arial" w:hAnsi="Arial"/>
        </w:rPr>
      </w:pPr>
    </w:p>
    <w:p w:rsidR="00000000" w:rsidRDefault="005B1FF8">
      <w:pPr>
        <w:widowControl w:val="0"/>
        <w:rPr>
          <w:rFonts w:ascii="Arial" w:hAnsi="Arial"/>
        </w:rPr>
      </w:pPr>
    </w:p>
    <w:p w:rsidR="005B1FF8" w:rsidRDefault="005B1FF8">
      <w:pPr>
        <w:widowControl w:val="0"/>
        <w:spacing w:line="0" w:lineRule="atLeast"/>
      </w:pPr>
      <w:r>
        <w:rPr>
          <w:rFonts w:ascii="Arial" w:hAnsi="Arial"/>
        </w:rPr>
        <w:t>May 7, 2017</w:t>
      </w:r>
    </w:p>
    <w:sectPr w:rsidR="005B1FF8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296" w:right="1440" w:bottom="1488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FF8" w:rsidRDefault="005B1FF8">
      <w:r>
        <w:separator/>
      </w:r>
    </w:p>
  </w:endnote>
  <w:endnote w:type="continuationSeparator" w:id="0">
    <w:p w:rsidR="005B1FF8" w:rsidRDefault="005B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B1FF8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rPr>
        <w:rFonts w:ascii="Arial" w:hAnsi="Arial"/>
      </w:rPr>
      <w:pgNum/>
    </w:r>
  </w:p>
  <w:p w:rsidR="00000000" w:rsidRDefault="005B1FF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B1FF8">
    <w:pPr>
      <w:framePr w:w="9360" w:h="280" w:hRule="exact" w:wrap="notBeside" w:vAnchor="page" w:hAnchor="text" w:y="14832"/>
      <w:widowControl w:val="0"/>
      <w:jc w:val="center"/>
      <w:rPr>
        <w:vanish/>
      </w:rPr>
    </w:pPr>
    <w:r>
      <w:rPr>
        <w:rFonts w:ascii="Arial" w:hAnsi="Arial"/>
      </w:rPr>
      <w:pgNum/>
    </w:r>
  </w:p>
  <w:p w:rsidR="00000000" w:rsidRDefault="005B1FF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FF8" w:rsidRDefault="005B1FF8">
      <w:r>
        <w:separator/>
      </w:r>
    </w:p>
  </w:footnote>
  <w:footnote w:type="continuationSeparator" w:id="0">
    <w:p w:rsidR="005B1FF8" w:rsidRDefault="005B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B1FF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B1FF8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DB"/>
    <w:rsid w:val="005B1FF8"/>
    <w:rsid w:val="008A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ECD8E-6F38-4573-BD6D-A9C18FD6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John</cp:lastModifiedBy>
  <cp:revision>2</cp:revision>
  <cp:lastPrinted>2017-05-07T19:21:00Z</cp:lastPrinted>
  <dcterms:created xsi:type="dcterms:W3CDTF">2017-05-07T14:21:00Z</dcterms:created>
  <dcterms:modified xsi:type="dcterms:W3CDTF">2017-05-07T14:21:00Z</dcterms:modified>
</cp:coreProperties>
</file>